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17E" w:rsidRDefault="00ED33E4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Песочница шест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гранная</w:t>
            </w:r>
          </w:p>
          <w:p w:rsidR="00E63DAC" w:rsidRDefault="0024746A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="00C31C95">
              <w:rPr>
                <w:b/>
                <w:bCs/>
                <w:sz w:val="22"/>
                <w:szCs w:val="22"/>
              </w:rPr>
              <w:t xml:space="preserve">МФ </w:t>
            </w:r>
            <w:r w:rsidR="00ED33E4">
              <w:rPr>
                <w:b/>
                <w:bCs/>
                <w:sz w:val="22"/>
                <w:szCs w:val="22"/>
              </w:rPr>
              <w:t>3.01</w:t>
            </w:r>
          </w:p>
          <w:p w:rsidR="006B23A9" w:rsidRPr="000B468B" w:rsidRDefault="00D84F62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460682" cy="1095511"/>
                  <wp:effectExtent l="19050" t="0" r="6168" b="0"/>
                  <wp:docPr id="1" name="Рисунок 1" descr="W:\Продукция 2013\8 Резиновые изделия\Песочн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Продукция 2013\8 Резиновые изделия\Песочн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82" cy="1095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A35F0" w:rsidP="00C31C9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</w:t>
            </w:r>
            <w:r w:rsidR="009D0D00">
              <w:rPr>
                <w:bCs/>
                <w:sz w:val="22"/>
                <w:szCs w:val="22"/>
              </w:rPr>
              <w:t xml:space="preserve">0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1D2FB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835A39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</w:t>
            </w:r>
            <w:r w:rsidR="009D0D00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9D0D00">
              <w:rPr>
                <w:bCs/>
                <w:sz w:val="22"/>
                <w:szCs w:val="22"/>
              </w:rPr>
              <w:t>мм</w:t>
            </w:r>
            <w:proofErr w:type="gramEnd"/>
            <w:r w:rsidR="009D0D0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1D2FBB" w:rsidRDefault="008A35F0" w:rsidP="001D2FBB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  <w:r w:rsidR="009D0D00">
              <w:rPr>
                <w:bCs/>
                <w:color w:val="000000"/>
                <w:sz w:val="22"/>
                <w:szCs w:val="22"/>
              </w:rPr>
              <w:t>00 (</w:t>
            </w:r>
            <w:r w:rsidR="000B62C9" w:rsidRPr="00E91D54">
              <w:rPr>
                <w:bCs/>
                <w:color w:val="000000"/>
                <w:sz w:val="22"/>
                <w:szCs w:val="22"/>
              </w:rPr>
              <w:t>± 10мм)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8A35F0" w:rsidP="008A35F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  <w:r w:rsidR="009D0D00">
              <w:rPr>
                <w:bCs/>
                <w:color w:val="000000"/>
                <w:sz w:val="22"/>
                <w:szCs w:val="22"/>
              </w:rPr>
              <w:t>00 (</w:t>
            </w:r>
            <w:r w:rsidR="009D0D00" w:rsidRPr="00E91D54">
              <w:rPr>
                <w:bCs/>
                <w:color w:val="000000"/>
                <w:sz w:val="22"/>
                <w:szCs w:val="22"/>
              </w:rPr>
              <w:t>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60" w:rsidRPr="00643360" w:rsidRDefault="00643360" w:rsidP="00643360">
            <w:pPr>
              <w:rPr>
                <w:color w:val="000000"/>
              </w:rPr>
            </w:pPr>
            <w:r w:rsidRPr="00643360">
              <w:rPr>
                <w:color w:val="000000"/>
              </w:rPr>
              <w:t xml:space="preserve">Оборудование предназначено для детей в возрасте от 3 до 10 лет. Песочница является модульной </w:t>
            </w:r>
            <w:r w:rsidR="00761A96" w:rsidRPr="00643360">
              <w:rPr>
                <w:color w:val="000000"/>
              </w:rPr>
              <w:t>ко</w:t>
            </w:r>
            <w:r w:rsidR="00761A96" w:rsidRPr="00643360">
              <w:rPr>
                <w:color w:val="000000"/>
              </w:rPr>
              <w:t>н</w:t>
            </w:r>
            <w:r w:rsidR="00761A96" w:rsidRPr="00643360">
              <w:rPr>
                <w:color w:val="000000"/>
              </w:rPr>
              <w:t>струкцией</w:t>
            </w:r>
            <w:r w:rsidRPr="00643360">
              <w:rPr>
                <w:color w:val="000000"/>
              </w:rPr>
              <w:t xml:space="preserve">, состоящая из элементов – столбов и стенок. </w:t>
            </w:r>
          </w:p>
          <w:p w:rsidR="00643360" w:rsidRPr="00643360" w:rsidRDefault="00643360" w:rsidP="00643360">
            <w:pPr>
              <w:rPr>
                <w:color w:val="000000"/>
              </w:rPr>
            </w:pPr>
            <w:r w:rsidRPr="00643360">
              <w:rPr>
                <w:color w:val="000000"/>
              </w:rPr>
              <w:t>Столбики и стенки представляет собой констру</w:t>
            </w:r>
            <w:r w:rsidRPr="00643360">
              <w:rPr>
                <w:color w:val="000000"/>
              </w:rPr>
              <w:t>к</w:t>
            </w:r>
            <w:r w:rsidRPr="00643360">
              <w:rPr>
                <w:color w:val="000000"/>
              </w:rPr>
              <w:t xml:space="preserve">цию основой которой является бетонная модель, по всей </w:t>
            </w:r>
            <w:proofErr w:type="gramStart"/>
            <w:r w:rsidRPr="00643360">
              <w:rPr>
                <w:color w:val="000000"/>
              </w:rPr>
              <w:t>площади</w:t>
            </w:r>
            <w:proofErr w:type="gramEnd"/>
            <w:r w:rsidRPr="00643360">
              <w:rPr>
                <w:color w:val="000000"/>
              </w:rPr>
              <w:t xml:space="preserve">  покрытой слоем цветной искусс</w:t>
            </w:r>
            <w:r w:rsidRPr="00643360">
              <w:rPr>
                <w:color w:val="000000"/>
              </w:rPr>
              <w:t>т</w:t>
            </w:r>
            <w:r w:rsidRPr="00643360">
              <w:rPr>
                <w:color w:val="000000"/>
              </w:rPr>
              <w:t>венной  каучуковой TPV крошки толщиной не м</w:t>
            </w:r>
            <w:r w:rsidRPr="00643360">
              <w:rPr>
                <w:color w:val="000000"/>
              </w:rPr>
              <w:t>е</w:t>
            </w:r>
            <w:r w:rsidRPr="00643360">
              <w:rPr>
                <w:color w:val="000000"/>
              </w:rPr>
              <w:t>нее 30 мм. Снизу каждой конструкции имеется з</w:t>
            </w:r>
            <w:r w:rsidRPr="00643360">
              <w:rPr>
                <w:color w:val="000000"/>
              </w:rPr>
              <w:t>а</w:t>
            </w:r>
            <w:r w:rsidRPr="00643360">
              <w:rPr>
                <w:color w:val="000000"/>
              </w:rPr>
              <w:t>кладной элемент, который бетонируется непосре</w:t>
            </w:r>
            <w:r w:rsidRPr="00643360">
              <w:rPr>
                <w:color w:val="000000"/>
              </w:rPr>
              <w:t>д</w:t>
            </w:r>
            <w:r w:rsidRPr="00643360">
              <w:rPr>
                <w:color w:val="000000"/>
              </w:rPr>
              <w:t>ственно в грунт площадки. Глубина бетонирования не менее 450 мм.</w:t>
            </w:r>
          </w:p>
          <w:p w:rsidR="00643360" w:rsidRPr="00643360" w:rsidRDefault="00643360" w:rsidP="00643360">
            <w:pPr>
              <w:rPr>
                <w:color w:val="000000"/>
              </w:rPr>
            </w:pPr>
            <w:r w:rsidRPr="00643360">
              <w:rPr>
                <w:color w:val="000000"/>
              </w:rPr>
              <w:t xml:space="preserve"> Количество элементов песочницы</w:t>
            </w:r>
          </w:p>
          <w:p w:rsidR="00643360" w:rsidRPr="00643360" w:rsidRDefault="00643360" w:rsidP="00643360">
            <w:pPr>
              <w:rPr>
                <w:color w:val="000000"/>
              </w:rPr>
            </w:pPr>
            <w:r w:rsidRPr="00643360">
              <w:rPr>
                <w:color w:val="000000"/>
              </w:rPr>
              <w:t>- стенка,  размером 600х250х300 мм - 6 шт.</w:t>
            </w:r>
          </w:p>
          <w:p w:rsidR="00643360" w:rsidRPr="00643360" w:rsidRDefault="00643360" w:rsidP="00643360">
            <w:pPr>
              <w:rPr>
                <w:color w:val="000000"/>
              </w:rPr>
            </w:pPr>
            <w:r w:rsidRPr="00643360">
              <w:rPr>
                <w:color w:val="000000"/>
              </w:rPr>
              <w:t>- столбик, размером диаметром 260 мм высотой      330 мм - 6 шт.</w:t>
            </w:r>
          </w:p>
          <w:p w:rsidR="00643360" w:rsidRPr="00643360" w:rsidRDefault="00643360" w:rsidP="00643360">
            <w:pPr>
              <w:rPr>
                <w:color w:val="000000"/>
              </w:rPr>
            </w:pPr>
            <w:r w:rsidRPr="00643360">
              <w:rPr>
                <w:color w:val="000000"/>
              </w:rPr>
              <w:t>Стенки имеют форму прямоугольника с закругле</w:t>
            </w:r>
            <w:r w:rsidRPr="00643360">
              <w:rPr>
                <w:color w:val="000000"/>
              </w:rPr>
              <w:t>н</w:t>
            </w:r>
            <w:r w:rsidRPr="00643360">
              <w:rPr>
                <w:color w:val="000000"/>
              </w:rPr>
              <w:t>ными торцами радиусом 130 мм, это обеспечивает плотное прилегание с сопрягаемыми с ними сто</w:t>
            </w:r>
            <w:r w:rsidRPr="00643360">
              <w:rPr>
                <w:color w:val="000000"/>
              </w:rPr>
              <w:t>л</w:t>
            </w:r>
            <w:r w:rsidRPr="00643360">
              <w:rPr>
                <w:color w:val="000000"/>
              </w:rPr>
              <w:t xml:space="preserve">биками. </w:t>
            </w:r>
          </w:p>
          <w:p w:rsidR="00643360" w:rsidRPr="00643360" w:rsidRDefault="00643360" w:rsidP="00643360">
            <w:pPr>
              <w:rPr>
                <w:color w:val="000000"/>
              </w:rPr>
            </w:pPr>
            <w:r w:rsidRPr="00643360">
              <w:rPr>
                <w:color w:val="000000"/>
              </w:rPr>
              <w:t>Стенки и столбики устанавливаются, чередуясь друг за другом, стык в стык друг к другу,  образуя форму шестигранника.</w:t>
            </w:r>
          </w:p>
          <w:p w:rsidR="00C22654" w:rsidRDefault="00643360" w:rsidP="00643360">
            <w:pPr>
              <w:rPr>
                <w:color w:val="000000"/>
              </w:rPr>
            </w:pPr>
            <w:r w:rsidRPr="00643360">
              <w:rPr>
                <w:color w:val="000000"/>
              </w:rPr>
              <w:t>Все грани имеют скругленную форму.</w:t>
            </w:r>
            <w:r>
              <w:rPr>
                <w:color w:val="000000"/>
              </w:rPr>
              <w:t xml:space="preserve"> </w:t>
            </w:r>
          </w:p>
          <w:p w:rsidR="009D0D00" w:rsidRPr="00E94816" w:rsidRDefault="009D0D00" w:rsidP="00643360">
            <w:pPr>
              <w:rPr>
                <w:color w:val="000000"/>
              </w:rPr>
            </w:pPr>
            <w:r>
              <w:rPr>
                <w:color w:val="000000"/>
              </w:rPr>
              <w:t>Резиновое покрытие изготавливается методом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лодного прессования </w:t>
            </w:r>
            <w:r w:rsidR="00A10E5E" w:rsidRPr="00F247EF">
              <w:rPr>
                <w:color w:val="000000"/>
              </w:rPr>
              <w:t>цветно</w:t>
            </w:r>
            <w:r w:rsidR="00A10E5E">
              <w:rPr>
                <w:color w:val="000000"/>
              </w:rPr>
              <w:t>й искусственной</w:t>
            </w:r>
            <w:r w:rsidR="00A10E5E" w:rsidRPr="00F247EF">
              <w:rPr>
                <w:color w:val="000000"/>
              </w:rPr>
              <w:t xml:space="preserve">  </w:t>
            </w:r>
            <w:r w:rsidR="00A10E5E">
              <w:rPr>
                <w:color w:val="000000"/>
              </w:rPr>
              <w:t>ка</w:t>
            </w:r>
            <w:r w:rsidR="00A10E5E">
              <w:rPr>
                <w:color w:val="000000"/>
              </w:rPr>
              <w:t>у</w:t>
            </w:r>
            <w:r w:rsidR="00A10E5E">
              <w:rPr>
                <w:color w:val="000000"/>
              </w:rPr>
              <w:t xml:space="preserve">чуковой </w:t>
            </w:r>
            <w:r w:rsidR="00A10E5E">
              <w:rPr>
                <w:color w:val="000000"/>
                <w:lang w:val="en-US"/>
              </w:rPr>
              <w:t>TPV</w:t>
            </w:r>
            <w:r w:rsidR="00A10E5E" w:rsidRPr="00A10E5E">
              <w:rPr>
                <w:color w:val="000000"/>
              </w:rPr>
              <w:t xml:space="preserve"> </w:t>
            </w:r>
            <w:r w:rsidR="00A10E5E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>на клеевой основе. Токсик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логические свойства данного материала не прев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шают норм установленных для эксплуатации на детских игровых площадках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</w:t>
            </w:r>
            <w:r w:rsidRPr="00F247EF">
              <w:rPr>
                <w:color w:val="000000"/>
              </w:rPr>
              <w:t>й</w:t>
            </w:r>
            <w:r w:rsidRPr="00F247EF">
              <w:rPr>
                <w:color w:val="000000"/>
              </w:rPr>
              <w:t>кость</w:t>
            </w:r>
          </w:p>
          <w:p w:rsidR="00F247EF" w:rsidRPr="00F247EF" w:rsidRDefault="00585E18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Повышенная травмо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упругость (обеспечивает травмобезопа</w:t>
            </w:r>
            <w:r w:rsidRPr="00F247EF">
              <w:rPr>
                <w:color w:val="000000"/>
              </w:rPr>
              <w:t>с</w:t>
            </w:r>
            <w:r w:rsidRPr="00F247EF">
              <w:rPr>
                <w:color w:val="000000"/>
              </w:rPr>
              <w:t>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 xml:space="preserve">- богатая цветовая палитра </w:t>
            </w:r>
          </w:p>
          <w:p w:rsidR="00F247EF" w:rsidRPr="00E94816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  <w:bookmarkStart w:id="4" w:name="_GoBack"/>
            <w:bookmarkEnd w:id="4"/>
          </w:p>
          <w:p w:rsidR="009D0D00" w:rsidRPr="00E94816" w:rsidRDefault="009D0D00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835A39">
            <w:pPr>
              <w:snapToGrid w:val="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1D2FBB" w:rsidP="00497D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96" w:rsidRDefault="00761A96" w:rsidP="00D74A8E">
      <w:r>
        <w:separator/>
      </w:r>
    </w:p>
  </w:endnote>
  <w:endnote w:type="continuationSeparator" w:id="1">
    <w:p w:rsidR="00761A96" w:rsidRDefault="00761A96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96" w:rsidRDefault="00761A96" w:rsidP="00D74A8E">
      <w:r>
        <w:separator/>
      </w:r>
    </w:p>
  </w:footnote>
  <w:footnote w:type="continuationSeparator" w:id="1">
    <w:p w:rsidR="00761A96" w:rsidRDefault="00761A96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4746A"/>
    <w:rsid w:val="00252241"/>
    <w:rsid w:val="00260843"/>
    <w:rsid w:val="0026620D"/>
    <w:rsid w:val="002673F5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60F84"/>
    <w:rsid w:val="00470F4A"/>
    <w:rsid w:val="00480C43"/>
    <w:rsid w:val="004814D0"/>
    <w:rsid w:val="004873B8"/>
    <w:rsid w:val="00487854"/>
    <w:rsid w:val="00497D29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85E18"/>
    <w:rsid w:val="00587525"/>
    <w:rsid w:val="005A2579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3360"/>
    <w:rsid w:val="00645099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2943"/>
    <w:rsid w:val="00755C51"/>
    <w:rsid w:val="0075627B"/>
    <w:rsid w:val="00761A96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3D97"/>
    <w:rsid w:val="00835A39"/>
    <w:rsid w:val="0083729E"/>
    <w:rsid w:val="00843BC8"/>
    <w:rsid w:val="00844C3A"/>
    <w:rsid w:val="0085277E"/>
    <w:rsid w:val="0085279D"/>
    <w:rsid w:val="008731DF"/>
    <w:rsid w:val="00873208"/>
    <w:rsid w:val="008802CD"/>
    <w:rsid w:val="00880714"/>
    <w:rsid w:val="0089397D"/>
    <w:rsid w:val="008957B7"/>
    <w:rsid w:val="00897608"/>
    <w:rsid w:val="008A145D"/>
    <w:rsid w:val="008A35F0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641"/>
    <w:rsid w:val="00935725"/>
    <w:rsid w:val="009501CE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D0D00"/>
    <w:rsid w:val="009E0BFF"/>
    <w:rsid w:val="009E59B8"/>
    <w:rsid w:val="009E6E1A"/>
    <w:rsid w:val="009F0B1D"/>
    <w:rsid w:val="009F2C45"/>
    <w:rsid w:val="00A02057"/>
    <w:rsid w:val="00A07982"/>
    <w:rsid w:val="00A10E5E"/>
    <w:rsid w:val="00A258DB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D234F"/>
    <w:rsid w:val="00AE549B"/>
    <w:rsid w:val="00AF0B6C"/>
    <w:rsid w:val="00AF0BE6"/>
    <w:rsid w:val="00B018A4"/>
    <w:rsid w:val="00B1293E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2654"/>
    <w:rsid w:val="00C243A7"/>
    <w:rsid w:val="00C25A50"/>
    <w:rsid w:val="00C31C95"/>
    <w:rsid w:val="00C339CE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2A2B"/>
    <w:rsid w:val="00CD722F"/>
    <w:rsid w:val="00CF67EC"/>
    <w:rsid w:val="00D038EB"/>
    <w:rsid w:val="00D07886"/>
    <w:rsid w:val="00D11640"/>
    <w:rsid w:val="00D20C9B"/>
    <w:rsid w:val="00D21215"/>
    <w:rsid w:val="00D242E7"/>
    <w:rsid w:val="00D24D25"/>
    <w:rsid w:val="00D375C7"/>
    <w:rsid w:val="00D42208"/>
    <w:rsid w:val="00D52C22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D01C9"/>
    <w:rsid w:val="00ED33E4"/>
    <w:rsid w:val="00ED3A84"/>
    <w:rsid w:val="00EE239D"/>
    <w:rsid w:val="00F01295"/>
    <w:rsid w:val="00F1353F"/>
    <w:rsid w:val="00F17BCF"/>
    <w:rsid w:val="00F247EF"/>
    <w:rsid w:val="00F2492D"/>
    <w:rsid w:val="00F2715F"/>
    <w:rsid w:val="00F3147B"/>
    <w:rsid w:val="00F51622"/>
    <w:rsid w:val="00F550CB"/>
    <w:rsid w:val="00F72115"/>
    <w:rsid w:val="00F80112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24EC-6F24-45F2-8023-6314057E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17</cp:revision>
  <cp:lastPrinted>2014-10-01T12:40:00Z</cp:lastPrinted>
  <dcterms:created xsi:type="dcterms:W3CDTF">2014-03-06T17:59:00Z</dcterms:created>
  <dcterms:modified xsi:type="dcterms:W3CDTF">2015-01-09T06:34:00Z</dcterms:modified>
</cp:coreProperties>
</file>